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80C6E">
      <w:pPr>
        <w:pStyle w:val="3"/>
        <w:keepNext/>
        <w:keepLines/>
        <w:pageBreakBefore w:val="0"/>
        <w:widowControl w:val="0"/>
        <w:kinsoku/>
        <w:wordWrap/>
        <w:overflowPunct/>
        <w:topLinePunct w:val="0"/>
        <w:autoSpaceDE/>
        <w:autoSpaceDN/>
        <w:bidi w:val="0"/>
        <w:adjustRightInd/>
        <w:snapToGrid/>
        <w:spacing w:before="0" w:after="0"/>
        <w:textAlignment w:val="auto"/>
        <w:rPr>
          <w:sz w:val="28"/>
          <w:szCs w:val="28"/>
        </w:rPr>
      </w:pPr>
      <w:r>
        <w:rPr>
          <w:rFonts w:hint="eastAsia" w:ascii="宋体" w:hAnsi="宋体" w:eastAsia="宋体" w:cs="宋体"/>
          <w:sz w:val="28"/>
          <w:szCs w:val="28"/>
          <w:lang w:eastAsia="zh-CN"/>
        </w:rPr>
        <w:t>教育局机关大楼2025年度零星维修项目</w:t>
      </w:r>
      <w:r>
        <w:rPr>
          <w:rFonts w:hint="eastAsia"/>
          <w:sz w:val="28"/>
          <w:szCs w:val="28"/>
        </w:rPr>
        <w:t>招标公告</w:t>
      </w:r>
    </w:p>
    <w:p w14:paraId="38259C68">
      <w:pPr>
        <w:widowControl/>
        <w:spacing w:line="360" w:lineRule="auto"/>
        <w:rPr>
          <w:rFonts w:ascii="宋体" w:hAnsi="宋体"/>
          <w:szCs w:val="24"/>
        </w:rPr>
      </w:pPr>
      <w:bookmarkStart w:id="0" w:name="OLE_LINK1"/>
      <w:bookmarkStart w:id="1" w:name="OLE_LINK2"/>
    </w:p>
    <w:bookmarkEnd w:id="0"/>
    <w:bookmarkEnd w:id="1"/>
    <w:p w14:paraId="1AF063A8">
      <w:pPr>
        <w:keepNext w:val="0"/>
        <w:keepLines w:val="0"/>
        <w:pageBreakBefore w:val="0"/>
        <w:widowControl w:val="0"/>
        <w:kinsoku/>
        <w:wordWrap/>
        <w:overflowPunct/>
        <w:topLinePunct w:val="0"/>
        <w:autoSpaceDE/>
        <w:autoSpaceDN/>
        <w:bidi w:val="0"/>
        <w:spacing w:line="360" w:lineRule="exact"/>
        <w:textAlignment w:val="auto"/>
        <w:rPr>
          <w:rFonts w:ascii="宋体" w:hAnsi="宋体"/>
          <w:szCs w:val="24"/>
        </w:rPr>
      </w:pPr>
      <w:r>
        <w:rPr>
          <w:rFonts w:ascii="宋体" w:hAnsi="宋体"/>
          <w:b/>
          <w:bCs/>
          <w:szCs w:val="24"/>
        </w:rPr>
        <w:t>项目概况</w:t>
      </w:r>
      <w:r>
        <w:rPr>
          <w:rFonts w:hint="eastAsia" w:ascii="宋体" w:hAnsi="宋体"/>
          <w:b/>
          <w:bCs/>
          <w:szCs w:val="24"/>
        </w:rPr>
        <w:t>:</w:t>
      </w:r>
    </w:p>
    <w:p w14:paraId="3433F762">
      <w:pPr>
        <w:keepNext w:val="0"/>
        <w:keepLines w:val="0"/>
        <w:pageBreakBefore w:val="0"/>
        <w:widowControl w:val="0"/>
        <w:kinsoku/>
        <w:wordWrap/>
        <w:overflowPunct/>
        <w:topLinePunct w:val="0"/>
        <w:autoSpaceDE/>
        <w:autoSpaceDN/>
        <w:bidi w:val="0"/>
        <w:spacing w:line="360" w:lineRule="exact"/>
        <w:ind w:firstLine="424" w:firstLineChars="202"/>
        <w:textAlignment w:val="auto"/>
        <w:rPr>
          <w:rFonts w:ascii="宋体" w:hAnsi="宋体"/>
          <w:szCs w:val="24"/>
        </w:rPr>
      </w:pPr>
      <w:r>
        <w:rPr>
          <w:rFonts w:hint="eastAsia" w:ascii="宋体" w:hAnsi="宋体"/>
          <w:snapToGrid w:val="0"/>
          <w:szCs w:val="21"/>
          <w:u w:val="single"/>
          <w:lang w:eastAsia="zh-CN"/>
        </w:rPr>
        <w:t>教育局机关大楼2025年度零星维修项目</w:t>
      </w:r>
      <w:r>
        <w:rPr>
          <w:rFonts w:hint="eastAsia" w:ascii="宋体" w:hAnsi="宋体" w:cs="Arial Unicode MS"/>
          <w:snapToGrid w:val="0"/>
          <w:kern w:val="0"/>
          <w:szCs w:val="21"/>
        </w:rPr>
        <w:t>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r>
        <w:rPr>
          <w:rFonts w:ascii="宋体" w:hAnsi="宋体"/>
          <w:szCs w:val="24"/>
        </w:rPr>
        <w:t xml:space="preserve"> </w:t>
      </w:r>
    </w:p>
    <w:p w14:paraId="465C0307">
      <w:pPr>
        <w:keepNext w:val="0"/>
        <w:keepLines w:val="0"/>
        <w:pageBreakBefore w:val="0"/>
        <w:widowControl w:val="0"/>
        <w:kinsoku/>
        <w:wordWrap/>
        <w:overflowPunct/>
        <w:topLinePunct w:val="0"/>
        <w:autoSpaceDE/>
        <w:autoSpaceDN/>
        <w:bidi w:val="0"/>
        <w:spacing w:line="360" w:lineRule="exact"/>
        <w:textAlignment w:val="auto"/>
        <w:rPr>
          <w:rFonts w:ascii="宋体" w:hAnsi="宋体"/>
          <w:szCs w:val="24"/>
        </w:rPr>
      </w:pPr>
    </w:p>
    <w:p w14:paraId="29CCED5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F9B1F7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FTZX20241209002</w:t>
      </w:r>
    </w:p>
    <w:p w14:paraId="71E0BDA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教育局机关大楼2025年度零星维修项目</w:t>
      </w:r>
    </w:p>
    <w:p w14:paraId="6E4C82E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3ADE04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4、预算金额：人民币500,000.00元</w:t>
      </w:r>
    </w:p>
    <w:p w14:paraId="7F584DD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5、最高限价：人民币500,000.00元</w:t>
      </w:r>
    </w:p>
    <w:p w14:paraId="4239FE3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4"/>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74C2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1E6A6FCD">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0E2F16C9">
            <w:pPr>
              <w:pStyle w:val="12"/>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577C2BE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38831F40">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53CB9B1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441B5FCB">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3E4C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61080090">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2270E6F0">
            <w:pPr>
              <w:pStyle w:val="12"/>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教育局机关大楼2025年度零星维修项目</w:t>
            </w:r>
          </w:p>
        </w:tc>
        <w:tc>
          <w:tcPr>
            <w:tcW w:w="921" w:type="dxa"/>
            <w:shd w:val="clear" w:color="auto" w:fill="auto"/>
            <w:vAlign w:val="center"/>
          </w:tcPr>
          <w:p w14:paraId="2A757DD5">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7A3E5E92">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2806442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62C0ED5E">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2CFD9BEC">
      <w:pPr>
        <w:pStyle w:val="18"/>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A778E6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11CBC11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2A56116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07BE6F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71D8DC6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7590FB1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784829B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7909D16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161D0C9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66AE8B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263755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7672832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9CC582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（7）具有建筑装修装饰工程专业承包二级（含）以上资质（提供有效资质证书扫描件，原件备查）；</w:t>
      </w:r>
    </w:p>
    <w:p w14:paraId="32B8B90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（8）具有安全生产许可证（提供有效证书扫描件，原件备查）；</w:t>
      </w:r>
    </w:p>
    <w:p w14:paraId="0B920A0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（9）本项目不接受联合体投标，不允许非法分包或转包。</w:t>
      </w:r>
    </w:p>
    <w:p w14:paraId="260C2DA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3727874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683339C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76EE372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4247B3F6">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852B827">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C89C14E">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3E3609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4CD4053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176129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7A9E8BD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133C219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4F1C95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1F275A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50CD19C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37176EC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5E16EA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59BE41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1DA0AE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8BB44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21485BA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9DEF78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2" w:name="OLE_LINK6"/>
      <w:r>
        <w:rPr>
          <w:rFonts w:hint="eastAsia" w:ascii="宋体" w:hAnsi="宋体" w:eastAsia="宋体"/>
          <w:snapToGrid w:val="0"/>
          <w:color w:val="auto"/>
          <w:sz w:val="21"/>
          <w:szCs w:val="21"/>
        </w:rPr>
        <w:t>1）中国政府采购网（www.ccgp.gov.cn）；</w:t>
      </w:r>
    </w:p>
    <w:p w14:paraId="4823C22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2）中国·深圳政府采购网（http://zfcg.szggzy.com:8081/）</w:t>
      </w:r>
      <w:r>
        <w:rPr>
          <w:rFonts w:hint="eastAsia" w:ascii="宋体" w:hAnsi="宋体" w:eastAsia="宋体"/>
          <w:snapToGrid w:val="0"/>
          <w:color w:val="auto"/>
          <w:sz w:val="21"/>
          <w:szCs w:val="21"/>
          <w:lang w:eastAsia="zh-CN"/>
        </w:rPr>
        <w:t>；</w:t>
      </w:r>
    </w:p>
    <w:p w14:paraId="10BBC7E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3</w:t>
      </w:r>
      <w:r>
        <w:rPr>
          <w:rFonts w:hint="eastAsia" w:ascii="宋体" w:hAnsi="宋体" w:eastAsia="宋体"/>
          <w:snapToGrid w:val="0"/>
          <w:color w:val="auto"/>
          <w:sz w:val="21"/>
          <w:szCs w:val="21"/>
        </w:rPr>
        <w:t>）采购代理机构网站（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2"/>
      <w:r>
        <w:rPr>
          <w:rFonts w:hint="eastAsia" w:ascii="宋体" w:hAnsi="宋体" w:eastAsia="宋体"/>
          <w:snapToGrid w:val="0"/>
          <w:color w:val="auto"/>
          <w:sz w:val="21"/>
          <w:szCs w:val="21"/>
        </w:rPr>
        <w:t>。</w:t>
      </w:r>
    </w:p>
    <w:p w14:paraId="04AE1C7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27D0844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2527401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bookmarkStart w:id="3" w:name="_GoBack"/>
      <w:bookmarkEnd w:id="3"/>
    </w:p>
    <w:p w14:paraId="419BE3E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EE30F2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名称：深圳市福田区教育局</w:t>
      </w:r>
    </w:p>
    <w:p w14:paraId="56EE8BE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地址：深圳市福田区新洲九街6号</w:t>
      </w:r>
    </w:p>
    <w:p w14:paraId="3142D3A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吴工，0755-82918306</w:t>
      </w:r>
    </w:p>
    <w:p w14:paraId="79C0AA4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D00B13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0A599C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5B6D8FE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14:paraId="7EE269C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4FA197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14:paraId="0B5FE7F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F7B589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深圳市福田区教育局</w:t>
      </w:r>
    </w:p>
    <w:p w14:paraId="405F8AE5">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4" w:firstLineChars="202"/>
        <w:jc w:val="right"/>
        <w:textAlignment w:val="auto"/>
        <w:rPr>
          <w:color w:val="auto"/>
        </w:rPr>
      </w:pPr>
      <w:r>
        <w:rPr>
          <w:rFonts w:ascii="宋体" w:hAnsi="宋体"/>
          <w:snapToGrid w:val="0"/>
          <w:kern w:val="0"/>
          <w:sz w:val="24"/>
        </w:rPr>
        <w:t>2024年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13</w:t>
      </w:r>
      <w:r>
        <w:rPr>
          <w:rFonts w:hint="eastAsia" w:ascii="宋体" w:hAnsi="宋体"/>
          <w:snapToGrid w:val="0"/>
          <w:kern w:val="0"/>
          <w:sz w:val="24"/>
        </w:rPr>
        <w:t>日</w:t>
      </w:r>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CC3D15"/>
    <w:rsid w:val="00077FC9"/>
    <w:rsid w:val="005E4E66"/>
    <w:rsid w:val="00693C3B"/>
    <w:rsid w:val="00904E97"/>
    <w:rsid w:val="00C0277A"/>
    <w:rsid w:val="00CC3D15"/>
    <w:rsid w:val="00DB5FC5"/>
    <w:rsid w:val="00E35C3E"/>
    <w:rsid w:val="010D427B"/>
    <w:rsid w:val="0A0D2B9E"/>
    <w:rsid w:val="0BE12FB3"/>
    <w:rsid w:val="0E0B6044"/>
    <w:rsid w:val="11543B8B"/>
    <w:rsid w:val="14593FD1"/>
    <w:rsid w:val="158F3058"/>
    <w:rsid w:val="187E2613"/>
    <w:rsid w:val="1BF507B7"/>
    <w:rsid w:val="1CBF6A46"/>
    <w:rsid w:val="1D660B43"/>
    <w:rsid w:val="1DCB6E5D"/>
    <w:rsid w:val="1E7D0A2D"/>
    <w:rsid w:val="1FB21E1D"/>
    <w:rsid w:val="24DA5A82"/>
    <w:rsid w:val="2508488E"/>
    <w:rsid w:val="2AEA4B61"/>
    <w:rsid w:val="2B52232C"/>
    <w:rsid w:val="2B7C5558"/>
    <w:rsid w:val="2BD44FDA"/>
    <w:rsid w:val="2CF5103D"/>
    <w:rsid w:val="2DB41456"/>
    <w:rsid w:val="2E787F44"/>
    <w:rsid w:val="2EA96AE1"/>
    <w:rsid w:val="30C06A28"/>
    <w:rsid w:val="32817F71"/>
    <w:rsid w:val="32D373F3"/>
    <w:rsid w:val="349D16AB"/>
    <w:rsid w:val="34A15756"/>
    <w:rsid w:val="355203DF"/>
    <w:rsid w:val="358B1AC9"/>
    <w:rsid w:val="36950861"/>
    <w:rsid w:val="37294A07"/>
    <w:rsid w:val="3A211C22"/>
    <w:rsid w:val="3A650ACB"/>
    <w:rsid w:val="3B4F27BE"/>
    <w:rsid w:val="3DB42DAD"/>
    <w:rsid w:val="3EDC559A"/>
    <w:rsid w:val="413A2F73"/>
    <w:rsid w:val="41F26EB0"/>
    <w:rsid w:val="42903B55"/>
    <w:rsid w:val="42AE4479"/>
    <w:rsid w:val="4868659A"/>
    <w:rsid w:val="49033566"/>
    <w:rsid w:val="4B745525"/>
    <w:rsid w:val="4D132F66"/>
    <w:rsid w:val="4D1D1DCC"/>
    <w:rsid w:val="4E376C2D"/>
    <w:rsid w:val="4E3C4533"/>
    <w:rsid w:val="52232E30"/>
    <w:rsid w:val="528D3FA9"/>
    <w:rsid w:val="59C51D9B"/>
    <w:rsid w:val="5A0C2F80"/>
    <w:rsid w:val="5A9303CE"/>
    <w:rsid w:val="5AE14E80"/>
    <w:rsid w:val="5BFF1E9F"/>
    <w:rsid w:val="5C2C2010"/>
    <w:rsid w:val="5DC27DBC"/>
    <w:rsid w:val="657747DB"/>
    <w:rsid w:val="67746F85"/>
    <w:rsid w:val="68105FAE"/>
    <w:rsid w:val="69316AFD"/>
    <w:rsid w:val="695D2AA2"/>
    <w:rsid w:val="69883BFC"/>
    <w:rsid w:val="6AD761A9"/>
    <w:rsid w:val="6E980488"/>
    <w:rsid w:val="6FA128E1"/>
    <w:rsid w:val="72FB00D3"/>
    <w:rsid w:val="745E2AD0"/>
    <w:rsid w:val="74F3663D"/>
    <w:rsid w:val="76085468"/>
    <w:rsid w:val="77606BA1"/>
    <w:rsid w:val="782704AD"/>
    <w:rsid w:val="7C4732AF"/>
    <w:rsid w:val="7F3F57C2"/>
    <w:rsid w:val="7F9F482F"/>
    <w:rsid w:val="7FD55ABD"/>
    <w:rsid w:val="7FEE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autoRedefine/>
    <w:qFormat/>
    <w:uiPriority w:val="0"/>
    <w:pPr>
      <w:adjustRightInd w:val="0"/>
      <w:jc w:val="center"/>
      <w:textAlignment w:val="baseline"/>
      <w:outlineLvl w:val="1"/>
    </w:pPr>
    <w:rPr>
      <w:sz w:val="24"/>
      <w:szCs w:val="20"/>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1"/>
    <w:qFormat/>
    <w:uiPriority w:val="0"/>
    <w:pPr>
      <w:jc w:val="left"/>
    </w:pPr>
  </w:style>
  <w:style w:type="paragraph" w:styleId="7">
    <w:name w:val="Body Text"/>
    <w:basedOn w:val="1"/>
    <w:next w:val="8"/>
    <w:autoRedefine/>
    <w:qFormat/>
    <w:uiPriority w:val="0"/>
    <w:pPr>
      <w:adjustRightInd w:val="0"/>
      <w:spacing w:after="120" w:line="360" w:lineRule="atLeast"/>
      <w:textAlignment w:val="baseline"/>
    </w:pPr>
    <w:rPr>
      <w:kern w:val="0"/>
      <w:sz w:val="20"/>
    </w:rPr>
  </w:style>
  <w:style w:type="paragraph" w:styleId="8">
    <w:name w:val="Body Text 2"/>
    <w:basedOn w:val="1"/>
    <w:qFormat/>
    <w:uiPriority w:val="0"/>
    <w:pPr>
      <w:spacing w:line="360" w:lineRule="auto"/>
    </w:pPr>
    <w:rPr>
      <w:sz w:val="24"/>
    </w:r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semiHidden/>
    <w:qFormat/>
    <w:uiPriority w:val="0"/>
    <w:pPr>
      <w:tabs>
        <w:tab w:val="right" w:leader="dot" w:pos="8296"/>
      </w:tabs>
      <w:ind w:left="210"/>
      <w:jc w:val="left"/>
    </w:pPr>
    <w:rPr>
      <w:smallCaps/>
    </w:rPr>
  </w:style>
  <w:style w:type="paragraph" w:styleId="12">
    <w:name w:val="Normal (Web)"/>
    <w:basedOn w:val="1"/>
    <w:autoRedefine/>
    <w:qFormat/>
    <w:uiPriority w:val="99"/>
    <w:pPr>
      <w:widowControl/>
      <w:spacing w:before="100" w:beforeAutospacing="1" w:after="100" w:afterAutospacing="1"/>
      <w:jc w:val="left"/>
    </w:pPr>
    <w:rPr>
      <w:kern w:val="0"/>
      <w:sz w:val="24"/>
    </w:rPr>
  </w:style>
  <w:style w:type="paragraph" w:styleId="13">
    <w:name w:val="annotation subject"/>
    <w:basedOn w:val="6"/>
    <w:next w:val="6"/>
    <w:link w:val="22"/>
    <w:autoRedefine/>
    <w:qFormat/>
    <w:uiPriority w:val="0"/>
    <w:rPr>
      <w:b/>
      <w:bCs/>
    </w:rPr>
  </w:style>
  <w:style w:type="character" w:styleId="16">
    <w:name w:val="Hyperlink"/>
    <w:autoRedefine/>
    <w:qFormat/>
    <w:uiPriority w:val="0"/>
    <w:rPr>
      <w:color w:val="0000FF"/>
      <w:u w:val="single"/>
    </w:rPr>
  </w:style>
  <w:style w:type="character" w:styleId="17">
    <w:name w:val="annotation reference"/>
    <w:basedOn w:val="15"/>
    <w:autoRedefine/>
    <w:qFormat/>
    <w:uiPriority w:val="0"/>
    <w:rPr>
      <w:sz w:val="21"/>
      <w:szCs w:val="21"/>
    </w:rPr>
  </w:style>
  <w:style w:type="paragraph" w:customStyle="1" w:styleId="1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9">
    <w:name w:val="页眉 字符"/>
    <w:basedOn w:val="15"/>
    <w:link w:val="10"/>
    <w:autoRedefine/>
    <w:qFormat/>
    <w:uiPriority w:val="0"/>
    <w:rPr>
      <w:rFonts w:ascii="Times New Roman" w:hAnsi="Times New Roman" w:eastAsia="宋体" w:cs="Times New Roman"/>
      <w:kern w:val="2"/>
      <w:sz w:val="18"/>
      <w:szCs w:val="18"/>
    </w:rPr>
  </w:style>
  <w:style w:type="character" w:customStyle="1" w:styleId="20">
    <w:name w:val="页脚 字符"/>
    <w:basedOn w:val="15"/>
    <w:link w:val="9"/>
    <w:autoRedefine/>
    <w:qFormat/>
    <w:uiPriority w:val="0"/>
    <w:rPr>
      <w:rFonts w:ascii="Times New Roman" w:hAnsi="Times New Roman" w:eastAsia="宋体" w:cs="Times New Roman"/>
      <w:kern w:val="2"/>
      <w:sz w:val="18"/>
      <w:szCs w:val="18"/>
    </w:rPr>
  </w:style>
  <w:style w:type="character" w:customStyle="1" w:styleId="21">
    <w:name w:val="批注文字 字符"/>
    <w:basedOn w:val="15"/>
    <w:link w:val="6"/>
    <w:autoRedefine/>
    <w:qFormat/>
    <w:uiPriority w:val="0"/>
    <w:rPr>
      <w:rFonts w:ascii="Times New Roman" w:hAnsi="Times New Roman" w:eastAsia="宋体" w:cs="Times New Roman"/>
      <w:kern w:val="2"/>
      <w:sz w:val="21"/>
      <w:szCs w:val="24"/>
    </w:rPr>
  </w:style>
  <w:style w:type="character" w:customStyle="1" w:styleId="22">
    <w:name w:val="批注主题 字符"/>
    <w:basedOn w:val="21"/>
    <w:link w:val="13"/>
    <w:autoRedefine/>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2058</Words>
  <Characters>2399</Characters>
  <Lines>22</Lines>
  <Paragraphs>6</Paragraphs>
  <TotalTime>0</TotalTime>
  <ScaleCrop>false</ScaleCrop>
  <LinksUpToDate>false</LinksUpToDate>
  <CharactersWithSpaces>2402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2021-12-06T08:05:00Z</dcterms:created>
  <dc:creator>PC</dc:creator>
  <cp:lastModifiedBy>我不熬夜</cp:lastModifiedBy>
  <dcterms:modified xsi:type="dcterms:W3CDTF">2024-12-13T09:54:24Z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6C5E7A225DC04BE7AFBA3A77E124B8E1_13</vt:lpwstr>
  </property>
</Properties>
</file>